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28"/>
        </w:tabs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市政工程混凝土用水检测委托单</w:t>
      </w:r>
    </w:p>
    <w:tbl>
      <w:tblPr>
        <w:tblStyle w:val="5"/>
        <w:tblpPr w:leftFromText="180" w:rightFromText="180" w:vertAnchor="page" w:horzAnchor="page" w:tblpX="1397" w:tblpY="2388"/>
        <w:tblOverlap w:val="never"/>
        <w:tblW w:w="9585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705"/>
        <w:gridCol w:w="495"/>
        <w:gridCol w:w="1025"/>
        <w:gridCol w:w="1243"/>
        <w:gridCol w:w="177"/>
        <w:gridCol w:w="1420"/>
        <w:gridCol w:w="671"/>
        <w:gridCol w:w="749"/>
        <w:gridCol w:w="526"/>
        <w:gridCol w:w="153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委托编号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试验编号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委托单位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委托日期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工程名称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取样日期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使用部位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出厂日期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材料名称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 xml:space="preserve">          地下水</w:t>
            </w: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代表批量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地表水6个月/次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地下水每年/次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再生水3个月/次</w:t>
            </w:r>
          </w:p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（JGJ 63-2006/5.2）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见证单位</w:t>
            </w:r>
          </w:p>
        </w:tc>
        <w:tc>
          <w:tcPr>
            <w:tcW w:w="29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ind w:left="-90" w:leftChars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9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见证员编号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58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771" w:type="dxa"/>
            <w:gridSpan w:val="8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主要检测参数（判定标准1.1）</w:t>
            </w:r>
          </w:p>
        </w:tc>
        <w:tc>
          <w:tcPr>
            <w:tcW w:w="2814" w:type="dxa"/>
            <w:gridSpan w:val="3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sz w:val="18"/>
                <w:szCs w:val="18"/>
              </w:rPr>
              <w:t>其他检测参数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  <w:t>pH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值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不溶物</w:t>
            </w:r>
          </w:p>
        </w:tc>
        <w:tc>
          <w:tcPr>
            <w:tcW w:w="2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可溶物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碱含量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2.1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2.2</w:t>
            </w:r>
          </w:p>
        </w:tc>
        <w:tc>
          <w:tcPr>
            <w:tcW w:w="2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2.3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  <w:t>C1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vertAlign w:val="superscript"/>
              </w:rPr>
              <w:t>-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含量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凝结时间差</w:t>
            </w:r>
          </w:p>
        </w:tc>
        <w:tc>
          <w:tcPr>
            <w:tcW w:w="2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胶砂强度比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SO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vertAlign w:val="subscript"/>
              </w:rPr>
              <w:t>4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vertAlign w:val="superscript"/>
              </w:rPr>
              <w:t>2-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含量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2.4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2.5</w:t>
            </w:r>
          </w:p>
        </w:tc>
        <w:tc>
          <w:tcPr>
            <w:tcW w:w="226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2.6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573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top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1.1 </w:t>
            </w:r>
            <w:r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  <w:t>JGJ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  <w:t>63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—</w:t>
            </w:r>
            <w:r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  <w:t>2006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混凝土用水标准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15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900" w:firstLineChars="500"/>
              <w:textAlignment w:val="top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035" w:type="dxa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550" w:type="dxa"/>
            <w:gridSpan w:val="10"/>
            <w:tcBorders>
              <w:tl2br w:val="nil"/>
              <w:tr2bl w:val="nil"/>
            </w:tcBorders>
          </w:tcPr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2.1 GB 6920-1986 水质 pH值的测定 玻璃电极法（7）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2.2 GB 11901-1989 水质 悬浮物的测定 重量法（6）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2.3 GB/T 5750.4-2006生活饮用水标准检验方法 感官性状和物理指标（8）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2.4 GB 11896-1989 水质 氯化物的测定 硝酸银滴定法（6）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2.5 GB/T 1346-2011 水泥标准稠度用水量、凝结时间、安定性检测方法（8） 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2.6 GB/T 17671-1999水泥胶砂强度检验方法（ISO法）（9.3）</w:t>
            </w:r>
          </w:p>
          <w:p>
            <w:pPr>
              <w:ind w:left="-90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2.7 GB/T 176-2008 水泥化学分析方法（17）</w:t>
            </w:r>
          </w:p>
          <w:p>
            <w:pPr>
              <w:widowControl/>
              <w:textAlignment w:val="top"/>
              <w:rPr>
                <w:rFonts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2.8 GB 11899-1989 水质 硫酸盐的测定 重量法（6）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55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试验单位：佳木斯永红建筑工程质量检测有限公司    联系电话：0454-8110889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1.按规定留样      是□    否□  2.按约定留样      是□    否□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3.样品返回        是□    否□  4.报告交付时间        年   月   日</w:t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5.争议期限15天（报告发出之日起）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取样人</w:t>
            </w:r>
          </w:p>
        </w:tc>
        <w:tc>
          <w:tcPr>
            <w:tcW w:w="22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送样单位(章)</w:t>
            </w:r>
          </w:p>
        </w:tc>
        <w:tc>
          <w:tcPr>
            <w:tcW w:w="2065" w:type="dxa"/>
            <w:gridSpan w:val="2"/>
            <w:vMerge w:val="restart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见证人</w:t>
            </w:r>
          </w:p>
        </w:tc>
        <w:tc>
          <w:tcPr>
            <w:tcW w:w="2225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theme="majorEastAsia"/>
                <w:sz w:val="18"/>
                <w:szCs w:val="18"/>
              </w:rPr>
            </w:pPr>
            <w:r>
              <w:rPr>
                <w:rFonts w:hint="eastAsia" w:ascii="宋体" w:hAnsi="宋体" w:eastAsia="宋体" w:cstheme="maj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420" w:type="dxa"/>
            <w:tcBorders>
              <w:tl2br w:val="nil"/>
              <w:tr2bl w:val="nil"/>
            </w:tcBorders>
            <w:vAlign w:val="bottom"/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1420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hAnsi="宋体" w:eastAsia="宋体" w:cstheme="majorEastAsia"/>
                <w:sz w:val="18"/>
                <w:szCs w:val="18"/>
              </w:rPr>
            </w:pPr>
          </w:p>
        </w:tc>
      </w:tr>
    </w:tbl>
    <w:p>
      <w:pPr>
        <w:tabs>
          <w:tab w:val="left" w:pos="3028"/>
        </w:tabs>
        <w:ind w:left="-567" w:leftChars="-270" w:right="-764" w:rightChars="-364" w:firstLine="90" w:firstLineChars="50"/>
        <w:rPr>
          <w:rFonts w:ascii="黑体" w:hAnsi="黑体" w:eastAsia="黑体" w:cs="黑体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</w:rPr>
        <w:t>C3-01-03</w:t>
      </w:r>
      <w:r>
        <w:rPr>
          <w:rFonts w:hint="eastAsia" w:asciiTheme="majorEastAsia" w:hAnsiTheme="majorEastAsia" w:eastAsiaTheme="majorEastAsia" w:cstheme="majorEastAsia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sz w:val="18"/>
          <w:szCs w:val="18"/>
        </w:rPr>
        <w:t xml:space="preserve">                                                 </w:t>
      </w:r>
      <w:r>
        <w:rPr>
          <w:rFonts w:hint="eastAsia" w:ascii="宋体" w:hAnsi="宋体" w:cs="宋体"/>
          <w:sz w:val="18"/>
          <w:szCs w:val="18"/>
        </w:rPr>
        <w:t>表号：TR18-BZW-</w:t>
      </w:r>
      <w:r>
        <w:rPr>
          <w:rFonts w:hint="eastAsia" w:asciiTheme="majorEastAsia" w:hAnsiTheme="majorEastAsia" w:eastAsiaTheme="majorEastAsia" w:cstheme="majorEastAsia"/>
          <w:sz w:val="18"/>
          <w:szCs w:val="18"/>
        </w:rPr>
        <w:t>019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249DF"/>
    <w:rsid w:val="00121102"/>
    <w:rsid w:val="001B0594"/>
    <w:rsid w:val="002F2B8D"/>
    <w:rsid w:val="003249DF"/>
    <w:rsid w:val="00877C28"/>
    <w:rsid w:val="00A51EC2"/>
    <w:rsid w:val="00B95EDE"/>
    <w:rsid w:val="00F924A3"/>
    <w:rsid w:val="03650D9F"/>
    <w:rsid w:val="094500A2"/>
    <w:rsid w:val="0C196C81"/>
    <w:rsid w:val="143F65A4"/>
    <w:rsid w:val="17052E14"/>
    <w:rsid w:val="19022CEB"/>
    <w:rsid w:val="1D2D395D"/>
    <w:rsid w:val="22382BF4"/>
    <w:rsid w:val="224715FE"/>
    <w:rsid w:val="24B45BB0"/>
    <w:rsid w:val="26E2084C"/>
    <w:rsid w:val="286B5588"/>
    <w:rsid w:val="29A0066F"/>
    <w:rsid w:val="2A266887"/>
    <w:rsid w:val="32A05C19"/>
    <w:rsid w:val="33B40072"/>
    <w:rsid w:val="34516C64"/>
    <w:rsid w:val="368B1379"/>
    <w:rsid w:val="37D0725C"/>
    <w:rsid w:val="43A64F07"/>
    <w:rsid w:val="471D7FAA"/>
    <w:rsid w:val="496737FA"/>
    <w:rsid w:val="4A881452"/>
    <w:rsid w:val="4EF74E03"/>
    <w:rsid w:val="50EE3050"/>
    <w:rsid w:val="52841E46"/>
    <w:rsid w:val="5D35245B"/>
    <w:rsid w:val="5F0E5861"/>
    <w:rsid w:val="604C63E1"/>
    <w:rsid w:val="619E42E2"/>
    <w:rsid w:val="62EF1D9C"/>
    <w:rsid w:val="6412705E"/>
    <w:rsid w:val="68EC5A06"/>
    <w:rsid w:val="69786A7A"/>
    <w:rsid w:val="6C206F7A"/>
    <w:rsid w:val="6CAD31E6"/>
    <w:rsid w:val="6D1D5022"/>
    <w:rsid w:val="6D9130B9"/>
    <w:rsid w:val="6FA87E3B"/>
    <w:rsid w:val="737267BF"/>
    <w:rsid w:val="74301B1A"/>
    <w:rsid w:val="79664532"/>
    <w:rsid w:val="7C1C575F"/>
    <w:rsid w:val="7D66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</Words>
  <Characters>806</Characters>
  <Lines>6</Lines>
  <Paragraphs>1</Paragraphs>
  <TotalTime>0</TotalTime>
  <ScaleCrop>false</ScaleCrop>
  <LinksUpToDate>false</LinksUpToDate>
  <CharactersWithSpaces>946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2018-05-18T07:52:00Z</cp:lastPrinted>
  <dcterms:modified xsi:type="dcterms:W3CDTF">2020-03-18T05:50:35Z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